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31" w:rsidRPr="009E6D4B" w:rsidRDefault="00CB4531" w:rsidP="00CB4531">
      <w:pPr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9E6D4B">
        <w:rPr>
          <w:rFonts w:ascii="Times New Roman" w:hAnsi="Times New Roman" w:cs="Times New Roman"/>
          <w:b/>
          <w:i/>
          <w:sz w:val="24"/>
          <w:szCs w:val="24"/>
          <w:u w:val="single"/>
        </w:rPr>
        <w:t>Justification:</w:t>
      </w:r>
    </w:p>
    <w:p w:rsidR="00CB4531" w:rsidRPr="009E6D4B" w:rsidRDefault="00CB4531" w:rsidP="00CB453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B4531" w:rsidRPr="009E6D4B" w:rsidRDefault="00CB4531" w:rsidP="00CB4531">
      <w:pPr>
        <w:rPr>
          <w:rFonts w:ascii="Times New Roman" w:hAnsi="Times New Roman" w:cs="Times New Roman"/>
          <w:sz w:val="24"/>
          <w:szCs w:val="24"/>
        </w:rPr>
      </w:pPr>
      <w:r w:rsidRPr="009E6D4B">
        <w:rPr>
          <w:rFonts w:ascii="Times New Roman" w:hAnsi="Times New Roman" w:cs="Times New Roman"/>
          <w:sz w:val="24"/>
          <w:szCs w:val="24"/>
        </w:rPr>
        <w:t xml:space="preserve">62 Pa. C.S.A §515(a)(4)&amp;(10) of the Pennsylvania Procurement Code provides that a “contract may be awarded for a supply, service or construction item without competition if the contracting officer first determines in writing that one of the following conditions exists: (4) it is clearly not feasible to award the contract for supplies or services on a competitive basis; or (10) the contract for supplies or services is in the best interest of the Commonwealth.”  </w:t>
      </w:r>
    </w:p>
    <w:p w:rsidR="00831616" w:rsidRDefault="00700748" w:rsidP="00700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Federal Trade Commission (“FTC”) filed suit against multiple defendants in the spring </w:t>
      </w:r>
      <w:r w:rsidR="003A1CCF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2020 in a case titled Federal Trade Comm’n, et. al. v. American Future Systems, Inc., et al, Case No. 2:20-cv-02266, in the United States District Court for the Eastern District of Pennsylvania. </w:t>
      </w:r>
      <w:r w:rsidR="00E9796B" w:rsidRPr="009E6D4B">
        <w:rPr>
          <w:rFonts w:ascii="Times New Roman" w:hAnsi="Times New Roman" w:cs="Times New Roman"/>
          <w:sz w:val="24"/>
          <w:szCs w:val="24"/>
        </w:rPr>
        <w:t xml:space="preserve">The </w:t>
      </w:r>
      <w:r w:rsidR="009E1BB8">
        <w:rPr>
          <w:rFonts w:ascii="Times New Roman" w:hAnsi="Times New Roman" w:cs="Times New Roman"/>
          <w:sz w:val="24"/>
          <w:szCs w:val="24"/>
        </w:rPr>
        <w:t>Commonwealth of Pennsylvania, Office of Attorney General (“</w:t>
      </w:r>
      <w:r w:rsidR="00E9796B" w:rsidRPr="009E6D4B">
        <w:rPr>
          <w:rFonts w:ascii="Times New Roman" w:hAnsi="Times New Roman" w:cs="Times New Roman"/>
          <w:sz w:val="24"/>
          <w:szCs w:val="24"/>
        </w:rPr>
        <w:t>OAG</w:t>
      </w:r>
      <w:r w:rsidR="009E1BB8">
        <w:rPr>
          <w:rFonts w:ascii="Times New Roman" w:hAnsi="Times New Roman" w:cs="Times New Roman"/>
          <w:sz w:val="24"/>
          <w:szCs w:val="24"/>
        </w:rPr>
        <w:t xml:space="preserve">”) </w:t>
      </w:r>
      <w:r>
        <w:rPr>
          <w:rFonts w:ascii="Times New Roman" w:hAnsi="Times New Roman" w:cs="Times New Roman"/>
          <w:sz w:val="24"/>
          <w:szCs w:val="24"/>
        </w:rPr>
        <w:t xml:space="preserve">joined the FTC as a plaintiff in the </w:t>
      </w:r>
      <w:r w:rsidR="00831616">
        <w:rPr>
          <w:rFonts w:ascii="Times New Roman" w:hAnsi="Times New Roman" w:cs="Times New Roman"/>
          <w:sz w:val="24"/>
          <w:szCs w:val="24"/>
        </w:rPr>
        <w:t xml:space="preserve">lawsuit </w:t>
      </w:r>
      <w:r>
        <w:rPr>
          <w:rFonts w:ascii="Times New Roman" w:hAnsi="Times New Roman" w:cs="Times New Roman"/>
          <w:sz w:val="24"/>
          <w:szCs w:val="24"/>
        </w:rPr>
        <w:t xml:space="preserve">in January 2021. </w:t>
      </w:r>
      <w:r w:rsidR="00B46974">
        <w:rPr>
          <w:rFonts w:ascii="Times New Roman" w:hAnsi="Times New Roman" w:cs="Times New Roman"/>
          <w:sz w:val="24"/>
          <w:szCs w:val="24"/>
        </w:rPr>
        <w:t xml:space="preserve">While the FTC </w:t>
      </w:r>
      <w:r w:rsidR="00831616">
        <w:rPr>
          <w:rFonts w:ascii="Times New Roman" w:hAnsi="Times New Roman" w:cs="Times New Roman"/>
          <w:sz w:val="24"/>
          <w:szCs w:val="24"/>
        </w:rPr>
        <w:t>initiated the case and took the lead in litigation</w:t>
      </w:r>
      <w:r w:rsidR="00B46974">
        <w:rPr>
          <w:rFonts w:ascii="Times New Roman" w:hAnsi="Times New Roman" w:cs="Times New Roman"/>
          <w:sz w:val="24"/>
          <w:szCs w:val="24"/>
        </w:rPr>
        <w:t xml:space="preserve">, a Supreme Court decision has </w:t>
      </w:r>
      <w:r w:rsidR="00831616">
        <w:rPr>
          <w:rFonts w:ascii="Times New Roman" w:hAnsi="Times New Roman" w:cs="Times New Roman"/>
          <w:sz w:val="24"/>
          <w:szCs w:val="24"/>
        </w:rPr>
        <w:t xml:space="preserve">since held that the </w:t>
      </w:r>
      <w:r w:rsidR="00B46974">
        <w:rPr>
          <w:rFonts w:ascii="Times New Roman" w:hAnsi="Times New Roman" w:cs="Times New Roman"/>
          <w:sz w:val="24"/>
          <w:szCs w:val="24"/>
        </w:rPr>
        <w:t>FTC</w:t>
      </w:r>
      <w:r w:rsidR="00831616">
        <w:rPr>
          <w:rFonts w:ascii="Times New Roman" w:hAnsi="Times New Roman" w:cs="Times New Roman"/>
          <w:sz w:val="24"/>
          <w:szCs w:val="24"/>
        </w:rPr>
        <w:t xml:space="preserve"> cannot</w:t>
      </w:r>
      <w:r w:rsidR="00B46974">
        <w:rPr>
          <w:rFonts w:ascii="Times New Roman" w:hAnsi="Times New Roman" w:cs="Times New Roman"/>
          <w:sz w:val="24"/>
          <w:szCs w:val="24"/>
        </w:rPr>
        <w:t xml:space="preserve"> recover monetary damages</w:t>
      </w:r>
      <w:r w:rsidR="00831616">
        <w:rPr>
          <w:rFonts w:ascii="Times New Roman" w:hAnsi="Times New Roman" w:cs="Times New Roman"/>
          <w:sz w:val="24"/>
          <w:szCs w:val="24"/>
        </w:rPr>
        <w:t xml:space="preserve">.  In contrast, Pennsylvania’s consumer protection law permits the recovery of restitution and civil penalties, millions of dollars of which are at issue in this case.    </w:t>
      </w:r>
      <w:r w:rsidR="003A1CCF">
        <w:rPr>
          <w:rFonts w:ascii="Times New Roman" w:hAnsi="Times New Roman" w:cs="Times New Roman"/>
          <w:sz w:val="24"/>
          <w:szCs w:val="24"/>
        </w:rPr>
        <w:t>Pennsylvania’s</w:t>
      </w:r>
      <w:r w:rsidR="00831616">
        <w:rPr>
          <w:rFonts w:ascii="Times New Roman" w:hAnsi="Times New Roman" w:cs="Times New Roman"/>
          <w:sz w:val="24"/>
          <w:szCs w:val="24"/>
        </w:rPr>
        <w:t xml:space="preserve"> consumer protection law also includes a substantive prohibition not available to the FTC that is directly relevant to the case.  </w:t>
      </w:r>
      <w:r w:rsidR="00B46974">
        <w:rPr>
          <w:rFonts w:ascii="Times New Roman" w:hAnsi="Times New Roman" w:cs="Times New Roman"/>
          <w:sz w:val="24"/>
          <w:szCs w:val="24"/>
        </w:rPr>
        <w:t xml:space="preserve">Thus, Pennsylvania’s role in the litigation has become critical. </w:t>
      </w:r>
    </w:p>
    <w:p w:rsidR="004C1315" w:rsidRDefault="004C1315" w:rsidP="00700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date, </w:t>
      </w:r>
      <w:r w:rsidR="00831616">
        <w:rPr>
          <w:rFonts w:ascii="Times New Roman" w:hAnsi="Times New Roman" w:cs="Times New Roman"/>
          <w:sz w:val="24"/>
          <w:szCs w:val="24"/>
        </w:rPr>
        <w:t xml:space="preserve">the parties have used </w:t>
      </w:r>
      <w:r>
        <w:rPr>
          <w:rFonts w:ascii="Times New Roman" w:hAnsi="Times New Roman" w:cs="Times New Roman"/>
          <w:sz w:val="24"/>
          <w:szCs w:val="24"/>
        </w:rPr>
        <w:t xml:space="preserve">Veritext </w:t>
      </w:r>
      <w:r w:rsidR="00831616">
        <w:rPr>
          <w:rFonts w:ascii="Times New Roman" w:hAnsi="Times New Roman" w:cs="Times New Roman"/>
          <w:sz w:val="24"/>
          <w:szCs w:val="24"/>
        </w:rPr>
        <w:t xml:space="preserve">for court-reporting and transcription services, primarily because of the need for </w:t>
      </w:r>
      <w:r>
        <w:rPr>
          <w:rFonts w:ascii="Times New Roman" w:hAnsi="Times New Roman" w:cs="Times New Roman"/>
          <w:sz w:val="24"/>
          <w:szCs w:val="24"/>
        </w:rPr>
        <w:t xml:space="preserve">Vertitext’s proprietary Exhibitshare </w:t>
      </w:r>
      <w:r w:rsidR="00831616">
        <w:rPr>
          <w:rFonts w:ascii="Times New Roman" w:hAnsi="Times New Roman" w:cs="Times New Roman"/>
          <w:sz w:val="24"/>
          <w:szCs w:val="24"/>
        </w:rPr>
        <w:t xml:space="preserve">platform.    </w:t>
      </w:r>
      <w:r>
        <w:rPr>
          <w:rFonts w:ascii="Times New Roman" w:hAnsi="Times New Roman" w:cs="Times New Roman"/>
          <w:sz w:val="24"/>
          <w:szCs w:val="24"/>
        </w:rPr>
        <w:t>Exhibitshare is a</w:t>
      </w:r>
      <w:r w:rsidR="00831616">
        <w:rPr>
          <w:rFonts w:ascii="Times New Roman" w:hAnsi="Times New Roman" w:cs="Times New Roman"/>
          <w:sz w:val="24"/>
          <w:szCs w:val="24"/>
        </w:rPr>
        <w:t>n electronic exhibit-sharing</w:t>
      </w:r>
      <w:r>
        <w:rPr>
          <w:rFonts w:ascii="Times New Roman" w:hAnsi="Times New Roman" w:cs="Times New Roman"/>
          <w:sz w:val="24"/>
          <w:szCs w:val="24"/>
        </w:rPr>
        <w:t xml:space="preserve"> platform t</w:t>
      </w:r>
      <w:r w:rsidR="003A1CCF">
        <w:rPr>
          <w:rFonts w:ascii="Times New Roman" w:hAnsi="Times New Roman" w:cs="Times New Roman"/>
          <w:sz w:val="24"/>
          <w:szCs w:val="24"/>
        </w:rPr>
        <w:t xml:space="preserve">hrough which exhibits are electronically uploaded and then marked and introduced in real time while permitting </w:t>
      </w:r>
      <w:r>
        <w:rPr>
          <w:rFonts w:ascii="Times New Roman" w:hAnsi="Times New Roman" w:cs="Times New Roman"/>
          <w:sz w:val="24"/>
          <w:szCs w:val="24"/>
        </w:rPr>
        <w:t xml:space="preserve">counsel, witnesses, and court reporters to have </w:t>
      </w:r>
      <w:r w:rsidR="003A1CCF">
        <w:rPr>
          <w:rFonts w:ascii="Times New Roman" w:hAnsi="Times New Roman" w:cs="Times New Roman"/>
          <w:sz w:val="24"/>
          <w:szCs w:val="24"/>
        </w:rPr>
        <w:t xml:space="preserve">simultaneous </w:t>
      </w:r>
      <w:r>
        <w:rPr>
          <w:rFonts w:ascii="Times New Roman" w:hAnsi="Times New Roman" w:cs="Times New Roman"/>
          <w:sz w:val="24"/>
          <w:szCs w:val="24"/>
        </w:rPr>
        <w:t xml:space="preserve">access to </w:t>
      </w:r>
      <w:r w:rsidR="003A1CC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exhibits. This technology has been used for all depositions</w:t>
      </w:r>
      <w:r w:rsidR="003A1C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this litigation</w:t>
      </w:r>
      <w:r w:rsidR="00831616">
        <w:rPr>
          <w:rFonts w:ascii="Times New Roman" w:hAnsi="Times New Roman" w:cs="Times New Roman"/>
          <w:sz w:val="24"/>
          <w:szCs w:val="24"/>
        </w:rPr>
        <w:t>, and there are currently over 250 cumulatively marked exhibits in Exhibitshare, including PDFs, Excel spreadsheets, and audio recordings.</w:t>
      </w:r>
    </w:p>
    <w:p w:rsidR="004C1315" w:rsidRPr="009E6D4B" w:rsidRDefault="004C1315" w:rsidP="00700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FTC </w:t>
      </w:r>
      <w:r w:rsidR="00831616">
        <w:rPr>
          <w:rFonts w:ascii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hAnsi="Times New Roman" w:cs="Times New Roman"/>
          <w:sz w:val="24"/>
          <w:szCs w:val="24"/>
        </w:rPr>
        <w:t xml:space="preserve">requested that the OAG cover the cost of the remaining six depositions to be taken in this litigation. </w:t>
      </w:r>
      <w:r w:rsidR="00831616">
        <w:rPr>
          <w:rFonts w:ascii="Times New Roman" w:hAnsi="Times New Roman" w:cs="Times New Roman"/>
          <w:sz w:val="24"/>
          <w:szCs w:val="24"/>
        </w:rPr>
        <w:t>Remote deposition protocols in this case are governed by a court order</w:t>
      </w:r>
      <w:r w:rsidR="003A1CCF">
        <w:rPr>
          <w:rFonts w:ascii="Times New Roman" w:hAnsi="Times New Roman" w:cs="Times New Roman"/>
          <w:sz w:val="24"/>
          <w:szCs w:val="24"/>
        </w:rPr>
        <w:t>.  While the order was</w:t>
      </w:r>
      <w:r w:rsidR="00831616">
        <w:rPr>
          <w:rFonts w:ascii="Times New Roman" w:hAnsi="Times New Roman" w:cs="Times New Roman"/>
          <w:sz w:val="24"/>
          <w:szCs w:val="24"/>
        </w:rPr>
        <w:t xml:space="preserve"> entered during the height of the COVID pandemic</w:t>
      </w:r>
      <w:r w:rsidR="003A1CCF">
        <w:rPr>
          <w:rFonts w:ascii="Times New Roman" w:hAnsi="Times New Roman" w:cs="Times New Roman"/>
          <w:sz w:val="24"/>
          <w:szCs w:val="24"/>
        </w:rPr>
        <w:t xml:space="preserve">, </w:t>
      </w:r>
      <w:r w:rsidR="00831616">
        <w:rPr>
          <w:rFonts w:ascii="Times New Roman" w:hAnsi="Times New Roman" w:cs="Times New Roman"/>
          <w:sz w:val="24"/>
          <w:szCs w:val="24"/>
        </w:rPr>
        <w:t xml:space="preserve">there are witnesses and attorneys in Philadelphia, Harrisburg, Ohio, New York, and Arizona.  Thus, the use of remote depositions is necessary and cost-effective even post-pandemic.  The current fact-discovery deadline is March 13, although limited extensions related to deposition scheduling may be sought.  </w:t>
      </w:r>
      <w:r>
        <w:rPr>
          <w:rFonts w:ascii="Times New Roman" w:hAnsi="Times New Roman" w:cs="Times New Roman"/>
          <w:sz w:val="24"/>
          <w:szCs w:val="24"/>
        </w:rPr>
        <w:t xml:space="preserve">Given the limited time left in discovery, the parties prior use of Veritext’s proprietary Exhibitshare technology, and the </w:t>
      </w:r>
      <w:r w:rsidR="00397607">
        <w:rPr>
          <w:rFonts w:ascii="Times New Roman" w:hAnsi="Times New Roman" w:cs="Times New Roman"/>
          <w:sz w:val="24"/>
          <w:szCs w:val="24"/>
        </w:rPr>
        <w:t xml:space="preserve">court’s order governing </w:t>
      </w:r>
      <w:r w:rsidR="00831616">
        <w:rPr>
          <w:rFonts w:ascii="Times New Roman" w:hAnsi="Times New Roman" w:cs="Times New Roman"/>
          <w:sz w:val="24"/>
          <w:szCs w:val="24"/>
        </w:rPr>
        <w:t xml:space="preserve">remote deposition protocols,  </w:t>
      </w:r>
      <w:r w:rsidR="00397607">
        <w:rPr>
          <w:rFonts w:ascii="Times New Roman" w:hAnsi="Times New Roman" w:cs="Times New Roman"/>
          <w:sz w:val="24"/>
          <w:szCs w:val="24"/>
        </w:rPr>
        <w:t xml:space="preserve">it would be nearly impossible for the OAG to procure another vendor in a timely manner while complying with the court’s Order as well as standard procurement requirements. </w:t>
      </w:r>
    </w:p>
    <w:p w:rsidR="00CB4531" w:rsidRPr="009E6D4B" w:rsidRDefault="001E7918">
      <w:pPr>
        <w:rPr>
          <w:rFonts w:ascii="Times New Roman" w:hAnsi="Times New Roman" w:cs="Times New Roman"/>
          <w:sz w:val="24"/>
          <w:szCs w:val="24"/>
        </w:rPr>
      </w:pPr>
      <w:r w:rsidRPr="009E6D4B">
        <w:rPr>
          <w:rFonts w:ascii="Times New Roman" w:hAnsi="Times New Roman" w:cs="Times New Roman"/>
          <w:sz w:val="24"/>
          <w:szCs w:val="24"/>
        </w:rPr>
        <w:t>Pursuant to 62 Pa. C.S.A §515(a)(4)</w:t>
      </w:r>
      <w:r w:rsidR="009E6D4B" w:rsidRPr="009E6D4B">
        <w:rPr>
          <w:rFonts w:ascii="Times New Roman" w:hAnsi="Times New Roman" w:cs="Times New Roman"/>
          <w:sz w:val="24"/>
          <w:szCs w:val="24"/>
        </w:rPr>
        <w:t>&amp; (10)</w:t>
      </w:r>
      <w:r w:rsidRPr="009E6D4B">
        <w:rPr>
          <w:rFonts w:ascii="Times New Roman" w:hAnsi="Times New Roman" w:cs="Times New Roman"/>
          <w:sz w:val="24"/>
          <w:szCs w:val="24"/>
        </w:rPr>
        <w:t xml:space="preserve">, a competitive bid is not feasible under the circumstances. </w:t>
      </w:r>
      <w:r w:rsidR="00397607">
        <w:rPr>
          <w:rFonts w:ascii="Times New Roman" w:hAnsi="Times New Roman" w:cs="Times New Roman"/>
          <w:sz w:val="24"/>
          <w:szCs w:val="24"/>
        </w:rPr>
        <w:t>With discovery ending soon</w:t>
      </w:r>
      <w:r w:rsidR="009E6D4B" w:rsidRPr="009E6D4B">
        <w:rPr>
          <w:rFonts w:ascii="Times New Roman" w:hAnsi="Times New Roman" w:cs="Times New Roman"/>
          <w:sz w:val="24"/>
          <w:szCs w:val="24"/>
        </w:rPr>
        <w:t xml:space="preserve">, a competitive bid would cause a significant delay in the </w:t>
      </w:r>
      <w:r w:rsidR="00397607">
        <w:rPr>
          <w:rFonts w:ascii="Times New Roman" w:hAnsi="Times New Roman" w:cs="Times New Roman"/>
          <w:sz w:val="24"/>
          <w:szCs w:val="24"/>
        </w:rPr>
        <w:t xml:space="preserve">completion of discovery, possibly thwart OAG’s efforts to depose individuals crucial to the case, and </w:t>
      </w:r>
      <w:r w:rsidR="00831616">
        <w:rPr>
          <w:rFonts w:ascii="Times New Roman" w:hAnsi="Times New Roman" w:cs="Times New Roman"/>
          <w:sz w:val="24"/>
          <w:szCs w:val="24"/>
        </w:rPr>
        <w:t xml:space="preserve">likely </w:t>
      </w:r>
      <w:r w:rsidR="009E6D4B" w:rsidRPr="009E6D4B">
        <w:rPr>
          <w:rFonts w:ascii="Times New Roman" w:hAnsi="Times New Roman" w:cs="Times New Roman"/>
          <w:sz w:val="24"/>
          <w:szCs w:val="24"/>
        </w:rPr>
        <w:t xml:space="preserve">increase costs. </w:t>
      </w:r>
      <w:r w:rsidR="00397607">
        <w:rPr>
          <w:rFonts w:ascii="Times New Roman" w:hAnsi="Times New Roman" w:cs="Times New Roman"/>
          <w:sz w:val="24"/>
          <w:szCs w:val="24"/>
        </w:rPr>
        <w:t xml:space="preserve">The consequence of delaying litigation or not completing the depositions within the discovery period </w:t>
      </w:r>
      <w:r w:rsidR="009E6D4B" w:rsidRPr="009E6D4B">
        <w:rPr>
          <w:rFonts w:ascii="Times New Roman" w:hAnsi="Times New Roman" w:cs="Times New Roman"/>
          <w:sz w:val="24"/>
          <w:szCs w:val="24"/>
        </w:rPr>
        <w:t>w</w:t>
      </w:r>
      <w:r w:rsidR="00397607">
        <w:rPr>
          <w:rFonts w:ascii="Times New Roman" w:hAnsi="Times New Roman" w:cs="Times New Roman"/>
          <w:sz w:val="24"/>
          <w:szCs w:val="24"/>
        </w:rPr>
        <w:t>ould harm Pennsylvania consumers.</w:t>
      </w:r>
      <w:r w:rsidR="009E6D4B" w:rsidRPr="009E6D4B">
        <w:rPr>
          <w:rFonts w:ascii="Times New Roman" w:hAnsi="Times New Roman" w:cs="Times New Roman"/>
          <w:sz w:val="24"/>
          <w:szCs w:val="24"/>
        </w:rPr>
        <w:t xml:space="preserve">  Therefore, the </w:t>
      </w:r>
      <w:r w:rsidR="009E6D4B" w:rsidRPr="009E6D4B">
        <w:rPr>
          <w:rFonts w:ascii="Times New Roman" w:hAnsi="Times New Roman" w:cs="Times New Roman"/>
          <w:sz w:val="24"/>
          <w:szCs w:val="24"/>
        </w:rPr>
        <w:lastRenderedPageBreak/>
        <w:t>procurement of Veritext to provide deposition transcript services</w:t>
      </w:r>
      <w:r w:rsidR="000C16AA">
        <w:rPr>
          <w:rFonts w:ascii="Times New Roman" w:hAnsi="Times New Roman" w:cs="Times New Roman"/>
          <w:sz w:val="24"/>
          <w:szCs w:val="24"/>
        </w:rPr>
        <w:t>, together with access to and use of the Exhibitshare platform,</w:t>
      </w:r>
      <w:r w:rsidR="009E6D4B" w:rsidRPr="009E6D4B">
        <w:rPr>
          <w:rFonts w:ascii="Times New Roman" w:hAnsi="Times New Roman" w:cs="Times New Roman"/>
          <w:sz w:val="24"/>
          <w:szCs w:val="24"/>
        </w:rPr>
        <w:t xml:space="preserve"> provides</w:t>
      </w:r>
      <w:r w:rsidR="009E1BB8">
        <w:rPr>
          <w:rFonts w:ascii="Times New Roman" w:hAnsi="Times New Roman" w:cs="Times New Roman"/>
          <w:sz w:val="24"/>
          <w:szCs w:val="24"/>
        </w:rPr>
        <w:t>:</w:t>
      </w:r>
      <w:r w:rsidR="009E6D4B" w:rsidRPr="009E6D4B">
        <w:rPr>
          <w:rFonts w:ascii="Times New Roman" w:hAnsi="Times New Roman" w:cs="Times New Roman"/>
          <w:sz w:val="24"/>
          <w:szCs w:val="24"/>
        </w:rPr>
        <w:t xml:space="preserve"> 1) a cost and time effective means of procuring services;</w:t>
      </w:r>
      <w:r w:rsidR="009E1BB8">
        <w:rPr>
          <w:rFonts w:ascii="Times New Roman" w:hAnsi="Times New Roman" w:cs="Times New Roman"/>
          <w:sz w:val="24"/>
          <w:szCs w:val="24"/>
        </w:rPr>
        <w:t xml:space="preserve"> 2) </w:t>
      </w:r>
      <w:r w:rsidR="000C16AA">
        <w:rPr>
          <w:rFonts w:ascii="Times New Roman" w:hAnsi="Times New Roman" w:cs="Times New Roman"/>
          <w:sz w:val="24"/>
          <w:szCs w:val="24"/>
        </w:rPr>
        <w:t>assurance that the</w:t>
      </w:r>
      <w:r w:rsidR="009E1BB8">
        <w:rPr>
          <w:rFonts w:ascii="Times New Roman" w:hAnsi="Times New Roman" w:cs="Times New Roman"/>
          <w:sz w:val="24"/>
          <w:szCs w:val="24"/>
        </w:rPr>
        <w:t xml:space="preserve"> selected Vendor</w:t>
      </w:r>
      <w:r w:rsidR="009E6D4B" w:rsidRPr="009E6D4B">
        <w:rPr>
          <w:rFonts w:ascii="Times New Roman" w:hAnsi="Times New Roman" w:cs="Times New Roman"/>
          <w:sz w:val="24"/>
          <w:szCs w:val="24"/>
        </w:rPr>
        <w:t xml:space="preserve"> is capable of performing the services required with depositions occurring imminently; </w:t>
      </w:r>
      <w:r w:rsidR="000C16AA">
        <w:rPr>
          <w:rFonts w:ascii="Times New Roman" w:hAnsi="Times New Roman" w:cs="Times New Roman"/>
          <w:sz w:val="24"/>
          <w:szCs w:val="24"/>
        </w:rPr>
        <w:t xml:space="preserve">and </w:t>
      </w:r>
      <w:r w:rsidR="009E6D4B" w:rsidRPr="009E6D4B">
        <w:rPr>
          <w:rFonts w:ascii="Times New Roman" w:hAnsi="Times New Roman" w:cs="Times New Roman"/>
          <w:sz w:val="24"/>
          <w:szCs w:val="24"/>
        </w:rPr>
        <w:t>3)</w:t>
      </w:r>
      <w:r w:rsidR="00397607">
        <w:rPr>
          <w:rFonts w:ascii="Times New Roman" w:hAnsi="Times New Roman" w:cs="Times New Roman"/>
          <w:sz w:val="24"/>
          <w:szCs w:val="24"/>
        </w:rPr>
        <w:t xml:space="preserve"> compliance with the Court’s standing order governing remote deposition</w:t>
      </w:r>
      <w:r w:rsidR="003A1CCF">
        <w:rPr>
          <w:rFonts w:ascii="Times New Roman" w:hAnsi="Times New Roman" w:cs="Times New Roman"/>
          <w:sz w:val="24"/>
          <w:szCs w:val="24"/>
        </w:rPr>
        <w:t>s</w:t>
      </w:r>
      <w:r w:rsidR="000C16AA">
        <w:rPr>
          <w:rFonts w:ascii="Times New Roman" w:hAnsi="Times New Roman" w:cs="Times New Roman"/>
          <w:sz w:val="24"/>
          <w:szCs w:val="24"/>
        </w:rPr>
        <w:t xml:space="preserve">.  In sum,  </w:t>
      </w:r>
      <w:r w:rsidR="009E6D4B" w:rsidRPr="009E6D4B">
        <w:rPr>
          <w:rFonts w:ascii="Times New Roman" w:hAnsi="Times New Roman" w:cs="Times New Roman"/>
          <w:sz w:val="24"/>
          <w:szCs w:val="24"/>
        </w:rPr>
        <w:t xml:space="preserve">the procurement is in the best interests of the Commonwealth to effectively and efficiently pursue litigation aimed at protecting Pennsylvania consumers. </w:t>
      </w:r>
    </w:p>
    <w:p w:rsidR="00B71509" w:rsidRPr="009E6D4B" w:rsidRDefault="00B71509">
      <w:pPr>
        <w:rPr>
          <w:rFonts w:ascii="Times New Roman" w:hAnsi="Times New Roman" w:cs="Times New Roman"/>
          <w:sz w:val="24"/>
          <w:szCs w:val="24"/>
        </w:rPr>
      </w:pPr>
    </w:p>
    <w:sectPr w:rsidR="00B71509" w:rsidRPr="009E6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19"/>
    <w:rsid w:val="0000687B"/>
    <w:rsid w:val="00026A82"/>
    <w:rsid w:val="000301ED"/>
    <w:rsid w:val="00041F05"/>
    <w:rsid w:val="00044016"/>
    <w:rsid w:val="000523F3"/>
    <w:rsid w:val="0005306E"/>
    <w:rsid w:val="00054AF9"/>
    <w:rsid w:val="000732C7"/>
    <w:rsid w:val="00073F63"/>
    <w:rsid w:val="0007450D"/>
    <w:rsid w:val="00091DAC"/>
    <w:rsid w:val="000A4EEC"/>
    <w:rsid w:val="000C16AA"/>
    <w:rsid w:val="000C454B"/>
    <w:rsid w:val="000C6495"/>
    <w:rsid w:val="000D0350"/>
    <w:rsid w:val="000E1286"/>
    <w:rsid w:val="000E1EC9"/>
    <w:rsid w:val="00100CD5"/>
    <w:rsid w:val="00122952"/>
    <w:rsid w:val="001243F5"/>
    <w:rsid w:val="001314BA"/>
    <w:rsid w:val="00136821"/>
    <w:rsid w:val="001635CF"/>
    <w:rsid w:val="00182883"/>
    <w:rsid w:val="0019162D"/>
    <w:rsid w:val="00196B5A"/>
    <w:rsid w:val="001A6B69"/>
    <w:rsid w:val="001B0883"/>
    <w:rsid w:val="001B2A0A"/>
    <w:rsid w:val="001B30C7"/>
    <w:rsid w:val="001C7201"/>
    <w:rsid w:val="001D66CC"/>
    <w:rsid w:val="001E38BF"/>
    <w:rsid w:val="001E7918"/>
    <w:rsid w:val="00205E4F"/>
    <w:rsid w:val="00212290"/>
    <w:rsid w:val="00217B38"/>
    <w:rsid w:val="00222FA8"/>
    <w:rsid w:val="00236A81"/>
    <w:rsid w:val="00237BF0"/>
    <w:rsid w:val="00250468"/>
    <w:rsid w:val="00251A2F"/>
    <w:rsid w:val="00252A8E"/>
    <w:rsid w:val="00255AB1"/>
    <w:rsid w:val="0027322C"/>
    <w:rsid w:val="0027679A"/>
    <w:rsid w:val="00285116"/>
    <w:rsid w:val="002B13AD"/>
    <w:rsid w:val="002C139C"/>
    <w:rsid w:val="002D3FD3"/>
    <w:rsid w:val="00304DE5"/>
    <w:rsid w:val="0030511E"/>
    <w:rsid w:val="00306C62"/>
    <w:rsid w:val="003070E6"/>
    <w:rsid w:val="00307ED3"/>
    <w:rsid w:val="00312158"/>
    <w:rsid w:val="00320991"/>
    <w:rsid w:val="00335626"/>
    <w:rsid w:val="00336274"/>
    <w:rsid w:val="0034382D"/>
    <w:rsid w:val="00350B6E"/>
    <w:rsid w:val="00350FFC"/>
    <w:rsid w:val="00362D91"/>
    <w:rsid w:val="0036618F"/>
    <w:rsid w:val="003836D3"/>
    <w:rsid w:val="00386D7B"/>
    <w:rsid w:val="0039706A"/>
    <w:rsid w:val="00397607"/>
    <w:rsid w:val="003A1368"/>
    <w:rsid w:val="003A1CCF"/>
    <w:rsid w:val="003A212A"/>
    <w:rsid w:val="003A272A"/>
    <w:rsid w:val="003A7880"/>
    <w:rsid w:val="003B09AB"/>
    <w:rsid w:val="003B24AD"/>
    <w:rsid w:val="004014E1"/>
    <w:rsid w:val="00427E6F"/>
    <w:rsid w:val="004467E4"/>
    <w:rsid w:val="004477C5"/>
    <w:rsid w:val="00450AE1"/>
    <w:rsid w:val="00485190"/>
    <w:rsid w:val="004B0BBE"/>
    <w:rsid w:val="004C1315"/>
    <w:rsid w:val="004C5DB5"/>
    <w:rsid w:val="004F599D"/>
    <w:rsid w:val="004F635C"/>
    <w:rsid w:val="00500981"/>
    <w:rsid w:val="00511156"/>
    <w:rsid w:val="00511ECB"/>
    <w:rsid w:val="00515544"/>
    <w:rsid w:val="00515732"/>
    <w:rsid w:val="005161DD"/>
    <w:rsid w:val="00533DCD"/>
    <w:rsid w:val="00537750"/>
    <w:rsid w:val="005474B4"/>
    <w:rsid w:val="005526CF"/>
    <w:rsid w:val="00553D87"/>
    <w:rsid w:val="0055597E"/>
    <w:rsid w:val="00556235"/>
    <w:rsid w:val="00557F78"/>
    <w:rsid w:val="005702A8"/>
    <w:rsid w:val="005B38A4"/>
    <w:rsid w:val="005B3D6E"/>
    <w:rsid w:val="005B55FC"/>
    <w:rsid w:val="005D5C16"/>
    <w:rsid w:val="005F73CA"/>
    <w:rsid w:val="00631597"/>
    <w:rsid w:val="00653BE2"/>
    <w:rsid w:val="00656694"/>
    <w:rsid w:val="00676DBB"/>
    <w:rsid w:val="006836C9"/>
    <w:rsid w:val="006B4321"/>
    <w:rsid w:val="006C25AB"/>
    <w:rsid w:val="006C4425"/>
    <w:rsid w:val="006C6F26"/>
    <w:rsid w:val="006E7CD3"/>
    <w:rsid w:val="006F6289"/>
    <w:rsid w:val="00700748"/>
    <w:rsid w:val="00704523"/>
    <w:rsid w:val="00717A00"/>
    <w:rsid w:val="00727BAE"/>
    <w:rsid w:val="00727C86"/>
    <w:rsid w:val="00730C10"/>
    <w:rsid w:val="00742205"/>
    <w:rsid w:val="00751136"/>
    <w:rsid w:val="007653B7"/>
    <w:rsid w:val="00773ABD"/>
    <w:rsid w:val="0077699A"/>
    <w:rsid w:val="00785EE8"/>
    <w:rsid w:val="007A5256"/>
    <w:rsid w:val="007E23AF"/>
    <w:rsid w:val="007F7228"/>
    <w:rsid w:val="00801080"/>
    <w:rsid w:val="0080179D"/>
    <w:rsid w:val="008122B2"/>
    <w:rsid w:val="00820210"/>
    <w:rsid w:val="008273CA"/>
    <w:rsid w:val="00830B50"/>
    <w:rsid w:val="00831616"/>
    <w:rsid w:val="008520A8"/>
    <w:rsid w:val="008602DD"/>
    <w:rsid w:val="00862A67"/>
    <w:rsid w:val="00871AD5"/>
    <w:rsid w:val="0087436A"/>
    <w:rsid w:val="0087699F"/>
    <w:rsid w:val="00891FBF"/>
    <w:rsid w:val="00894474"/>
    <w:rsid w:val="008A1771"/>
    <w:rsid w:val="008B3E25"/>
    <w:rsid w:val="008E1580"/>
    <w:rsid w:val="008E6E27"/>
    <w:rsid w:val="008F4619"/>
    <w:rsid w:val="0092041F"/>
    <w:rsid w:val="00924780"/>
    <w:rsid w:val="00924BCB"/>
    <w:rsid w:val="00932041"/>
    <w:rsid w:val="00935CFF"/>
    <w:rsid w:val="009451C7"/>
    <w:rsid w:val="009462A7"/>
    <w:rsid w:val="00962199"/>
    <w:rsid w:val="009656A8"/>
    <w:rsid w:val="0096690D"/>
    <w:rsid w:val="00967906"/>
    <w:rsid w:val="00980DEE"/>
    <w:rsid w:val="00984B2D"/>
    <w:rsid w:val="009B20AD"/>
    <w:rsid w:val="009C2DDA"/>
    <w:rsid w:val="009C4039"/>
    <w:rsid w:val="009C5616"/>
    <w:rsid w:val="009C6452"/>
    <w:rsid w:val="009E1BB8"/>
    <w:rsid w:val="009E1FFC"/>
    <w:rsid w:val="009E6D4B"/>
    <w:rsid w:val="00A04D07"/>
    <w:rsid w:val="00A0541B"/>
    <w:rsid w:val="00A13A7B"/>
    <w:rsid w:val="00A21356"/>
    <w:rsid w:val="00A2616C"/>
    <w:rsid w:val="00A37640"/>
    <w:rsid w:val="00A469C6"/>
    <w:rsid w:val="00A72083"/>
    <w:rsid w:val="00A7323B"/>
    <w:rsid w:val="00A73902"/>
    <w:rsid w:val="00A8347F"/>
    <w:rsid w:val="00A83E14"/>
    <w:rsid w:val="00A93E04"/>
    <w:rsid w:val="00AA10B8"/>
    <w:rsid w:val="00AA5998"/>
    <w:rsid w:val="00AA6B68"/>
    <w:rsid w:val="00AB202A"/>
    <w:rsid w:val="00AC025F"/>
    <w:rsid w:val="00AD41E3"/>
    <w:rsid w:val="00AD4D9E"/>
    <w:rsid w:val="00AE0BA4"/>
    <w:rsid w:val="00AF74D0"/>
    <w:rsid w:val="00B01783"/>
    <w:rsid w:val="00B053B2"/>
    <w:rsid w:val="00B11622"/>
    <w:rsid w:val="00B14141"/>
    <w:rsid w:val="00B3234B"/>
    <w:rsid w:val="00B46974"/>
    <w:rsid w:val="00B61519"/>
    <w:rsid w:val="00B671DC"/>
    <w:rsid w:val="00B71509"/>
    <w:rsid w:val="00B75F12"/>
    <w:rsid w:val="00B805B0"/>
    <w:rsid w:val="00B864D2"/>
    <w:rsid w:val="00B906CB"/>
    <w:rsid w:val="00BB5AF4"/>
    <w:rsid w:val="00BC1CF2"/>
    <w:rsid w:val="00BF1F6C"/>
    <w:rsid w:val="00BF6C72"/>
    <w:rsid w:val="00C07DC5"/>
    <w:rsid w:val="00C07DD6"/>
    <w:rsid w:val="00C10762"/>
    <w:rsid w:val="00C13E3B"/>
    <w:rsid w:val="00C14C06"/>
    <w:rsid w:val="00C24B04"/>
    <w:rsid w:val="00C251E9"/>
    <w:rsid w:val="00C31C2B"/>
    <w:rsid w:val="00C50679"/>
    <w:rsid w:val="00C54777"/>
    <w:rsid w:val="00C76F0A"/>
    <w:rsid w:val="00C81585"/>
    <w:rsid w:val="00C84E42"/>
    <w:rsid w:val="00C90A75"/>
    <w:rsid w:val="00CA4CED"/>
    <w:rsid w:val="00CB4531"/>
    <w:rsid w:val="00CC4FF6"/>
    <w:rsid w:val="00CC6B5E"/>
    <w:rsid w:val="00CD0DFB"/>
    <w:rsid w:val="00D214F0"/>
    <w:rsid w:val="00D23958"/>
    <w:rsid w:val="00D265BE"/>
    <w:rsid w:val="00D37278"/>
    <w:rsid w:val="00D40CDF"/>
    <w:rsid w:val="00D516A3"/>
    <w:rsid w:val="00D61F5B"/>
    <w:rsid w:val="00D96943"/>
    <w:rsid w:val="00D97877"/>
    <w:rsid w:val="00DA08C2"/>
    <w:rsid w:val="00DB2C88"/>
    <w:rsid w:val="00DD2FCD"/>
    <w:rsid w:val="00E03DCC"/>
    <w:rsid w:val="00E05878"/>
    <w:rsid w:val="00E05D8B"/>
    <w:rsid w:val="00E337A6"/>
    <w:rsid w:val="00E359F9"/>
    <w:rsid w:val="00E62B95"/>
    <w:rsid w:val="00E63515"/>
    <w:rsid w:val="00E837FC"/>
    <w:rsid w:val="00E906DB"/>
    <w:rsid w:val="00E94380"/>
    <w:rsid w:val="00E96566"/>
    <w:rsid w:val="00E9796B"/>
    <w:rsid w:val="00EA2F6C"/>
    <w:rsid w:val="00EA4558"/>
    <w:rsid w:val="00EB6BD6"/>
    <w:rsid w:val="00ED59DC"/>
    <w:rsid w:val="00EE635A"/>
    <w:rsid w:val="00EF6EFD"/>
    <w:rsid w:val="00F204E4"/>
    <w:rsid w:val="00F24CB4"/>
    <w:rsid w:val="00F3654D"/>
    <w:rsid w:val="00F45921"/>
    <w:rsid w:val="00F71420"/>
    <w:rsid w:val="00F751FA"/>
    <w:rsid w:val="00F830CB"/>
    <w:rsid w:val="00FC5506"/>
    <w:rsid w:val="00FE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ATTGEN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McGannon, Daniel</dc:creator>
  <cp:lastModifiedBy>Webster, Erin M.</cp:lastModifiedBy>
  <cp:revision>2</cp:revision>
  <dcterms:created xsi:type="dcterms:W3CDTF">2023-03-03T14:58:00Z</dcterms:created>
  <dcterms:modified xsi:type="dcterms:W3CDTF">2023-03-03T14:58:00Z</dcterms:modified>
</cp:coreProperties>
</file>